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B36" w:rsidRDefault="00795B36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9005B" w:rsidRPr="003A75B5" w:rsidRDefault="00D9005B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right" w:tblpY="2371"/>
        <w:tblW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</w:tblGrid>
      <w:tr w:rsidR="00D9005B" w:rsidTr="00116A23">
        <w:trPr>
          <w:trHeight w:val="2322"/>
        </w:trPr>
        <w:tc>
          <w:tcPr>
            <w:tcW w:w="2405" w:type="dxa"/>
          </w:tcPr>
          <w:p w:rsidR="00D9005B" w:rsidRPr="001E30D4" w:rsidRDefault="00D9005B" w:rsidP="00116A2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E30D4">
              <w:rPr>
                <w:rFonts w:ascii="Arial" w:hAnsi="Arial" w:cs="Arial"/>
                <w:b/>
                <w:sz w:val="16"/>
                <w:szCs w:val="16"/>
              </w:rPr>
              <w:t>Essar Power Limited</w:t>
            </w: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Essar House</w:t>
            </w: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11, K. K. Marg, Mahalaxmi, Mumbai – 400 034</w:t>
            </w: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India</w:t>
            </w: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Corporate Identity Number</w:t>
            </w: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U40100GJ1991PLC064824</w:t>
            </w: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9005B" w:rsidRPr="001E30D4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T   +91- 22- 6660 1100</w:t>
            </w:r>
          </w:p>
          <w:p w:rsidR="00D9005B" w:rsidRDefault="00D9005B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30D4">
              <w:rPr>
                <w:rFonts w:ascii="Arial" w:hAnsi="Arial" w:cs="Arial"/>
                <w:sz w:val="16"/>
                <w:szCs w:val="16"/>
              </w:rPr>
              <w:t>F   +91 -22 – 2354 4787</w:t>
            </w:r>
          </w:p>
          <w:p w:rsidR="00D9005B" w:rsidRPr="001E30D4" w:rsidRDefault="00CF6019" w:rsidP="00116A2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D9005B" w:rsidRPr="00FC2E1D">
                <w:rPr>
                  <w:rStyle w:val="Hyperlink"/>
                  <w:rFonts w:ascii="Arial" w:hAnsi="Arial" w:cs="Arial"/>
                  <w:sz w:val="16"/>
                  <w:szCs w:val="16"/>
                </w:rPr>
                <w:t>www.essar.com</w:t>
              </w:r>
            </w:hyperlink>
            <w:r w:rsidR="00D900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9E31C3" w:rsidRPr="003A75B5" w:rsidRDefault="008C39E1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September</w:t>
      </w:r>
      <w:r w:rsidR="00C02810">
        <w:rPr>
          <w:rFonts w:ascii="Arial" w:hAnsi="Arial" w:cs="Arial"/>
          <w:sz w:val="20"/>
          <w:szCs w:val="20"/>
        </w:rPr>
        <w:t xml:space="preserve"> 7</w:t>
      </w:r>
      <w:r w:rsidR="003A75B5" w:rsidRPr="003A75B5">
        <w:rPr>
          <w:rFonts w:ascii="Arial" w:hAnsi="Arial" w:cs="Arial"/>
          <w:sz w:val="20"/>
          <w:szCs w:val="20"/>
        </w:rPr>
        <w:t>, 2021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>To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31C3" w:rsidRPr="003A75B5" w:rsidRDefault="00D9005B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Department of Corporate </w:t>
      </w:r>
      <w:r w:rsidR="009E31C3" w:rsidRPr="003A75B5">
        <w:rPr>
          <w:rFonts w:ascii="Arial" w:hAnsi="Arial" w:cs="Arial"/>
          <w:sz w:val="20"/>
          <w:szCs w:val="20"/>
        </w:rPr>
        <w:t>Services                                                      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 xml:space="preserve">Bombay Stock Exchange Ltd. (BSE)                               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 xml:space="preserve">P.J. Towers, Dalal Street, 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 xml:space="preserve">Mumbai - 400 001                                        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 xml:space="preserve">            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tabs>
          <w:tab w:val="left" w:pos="1440"/>
        </w:tabs>
        <w:spacing w:after="0" w:line="240" w:lineRule="auto"/>
        <w:ind w:left="720" w:hanging="720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>Ref: Script Code: 949474</w:t>
      </w:r>
    </w:p>
    <w:p w:rsidR="009E31C3" w:rsidRPr="003A75B5" w:rsidRDefault="009E31C3" w:rsidP="009E31C3">
      <w:pPr>
        <w:tabs>
          <w:tab w:val="left" w:pos="1440"/>
        </w:tabs>
        <w:spacing w:after="0" w:line="240" w:lineRule="auto"/>
        <w:ind w:left="720" w:hanging="720"/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75B5">
        <w:rPr>
          <w:rFonts w:ascii="Arial" w:hAnsi="Arial" w:cs="Arial"/>
          <w:b/>
          <w:sz w:val="20"/>
          <w:szCs w:val="20"/>
        </w:rPr>
        <w:t>Sub    : Intim</w:t>
      </w:r>
      <w:r w:rsidR="00416CA8">
        <w:rPr>
          <w:rFonts w:ascii="Arial" w:hAnsi="Arial" w:cs="Arial"/>
          <w:b/>
          <w:sz w:val="20"/>
          <w:szCs w:val="20"/>
        </w:rPr>
        <w:t>ation in terms of Regulation 51(2</w:t>
      </w:r>
      <w:r w:rsidRPr="003A75B5">
        <w:rPr>
          <w:rFonts w:ascii="Arial" w:hAnsi="Arial" w:cs="Arial"/>
          <w:b/>
          <w:sz w:val="20"/>
          <w:szCs w:val="20"/>
        </w:rPr>
        <w:t xml:space="preserve">) of Securities and Exchange Board of India (Listing Obligations and Disclosure Requirements) Regulations, 2015 </w:t>
      </w:r>
      <w:r w:rsidRPr="003A75B5">
        <w:rPr>
          <w:rFonts w:ascii="Arial" w:hAnsi="Arial" w:cs="Arial"/>
          <w:b/>
          <w:sz w:val="20"/>
          <w:szCs w:val="20"/>
        </w:rPr>
        <w:tab/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>Dear Sir,</w:t>
      </w:r>
    </w:p>
    <w:p w:rsidR="009E31C3" w:rsidRPr="003A75B5" w:rsidRDefault="009E31C3" w:rsidP="009E31C3">
      <w:pPr>
        <w:jc w:val="both"/>
        <w:rPr>
          <w:rFonts w:ascii="Arial" w:hAnsi="Arial" w:cs="Arial"/>
          <w:sz w:val="20"/>
          <w:szCs w:val="20"/>
        </w:rPr>
      </w:pPr>
    </w:p>
    <w:p w:rsidR="009E31C3" w:rsidRPr="003A75B5" w:rsidRDefault="00416CA8" w:rsidP="009E31C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With reference to Regulation 51</w:t>
      </w:r>
      <w:r w:rsidR="009E31C3" w:rsidRPr="003A75B5">
        <w:rPr>
          <w:rFonts w:ascii="Arial" w:hAnsi="Arial" w:cs="Arial"/>
          <w:sz w:val="20"/>
          <w:szCs w:val="20"/>
        </w:rPr>
        <w:t xml:space="preserve">(2) of Securities and Exchange Board of India (Listing Obligations and Disclosure Requirements) Regulations, 2015, we wish inform you that the Company has not paid interest on the following securities due on </w:t>
      </w:r>
      <w:r w:rsidR="008C39E1">
        <w:rPr>
          <w:rFonts w:ascii="Arial" w:hAnsi="Arial" w:cs="Arial"/>
          <w:sz w:val="20"/>
          <w:szCs w:val="20"/>
        </w:rPr>
        <w:t xml:space="preserve">September </w:t>
      </w:r>
      <w:r w:rsidR="009E31C3" w:rsidRPr="003A75B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 2021</w:t>
      </w:r>
      <w:r w:rsidR="00A06ABA">
        <w:rPr>
          <w:rFonts w:ascii="Arial" w:hAnsi="Arial" w:cs="Arial"/>
          <w:sz w:val="20"/>
          <w:szCs w:val="20"/>
        </w:rPr>
        <w:t xml:space="preserve"> as the Company is under discussion with </w:t>
      </w:r>
      <w:r w:rsidR="00CF6019">
        <w:rPr>
          <w:rFonts w:ascii="Arial" w:hAnsi="Arial" w:cs="Arial"/>
          <w:sz w:val="20"/>
          <w:szCs w:val="20"/>
        </w:rPr>
        <w:t xml:space="preserve">NCD holders </w:t>
      </w:r>
      <w:bookmarkStart w:id="0" w:name="_GoBack"/>
      <w:bookmarkEnd w:id="0"/>
      <w:r w:rsidR="00A06ABA">
        <w:rPr>
          <w:rFonts w:ascii="Arial" w:hAnsi="Arial" w:cs="Arial"/>
          <w:sz w:val="20"/>
          <w:szCs w:val="20"/>
        </w:rPr>
        <w:t>for One Time Settlement</w:t>
      </w:r>
      <w:r w:rsidR="009E31C3" w:rsidRPr="003A75B5">
        <w:rPr>
          <w:rFonts w:ascii="Arial" w:hAnsi="Arial" w:cs="Arial"/>
          <w:sz w:val="20"/>
          <w:szCs w:val="20"/>
        </w:rPr>
        <w:t xml:space="preserve">. </w:t>
      </w:r>
    </w:p>
    <w:p w:rsidR="009E31C3" w:rsidRPr="003A75B5" w:rsidRDefault="009E31C3" w:rsidP="009E31C3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1701"/>
        <w:gridCol w:w="1984"/>
        <w:gridCol w:w="1701"/>
        <w:gridCol w:w="1843"/>
      </w:tblGrid>
      <w:tr w:rsidR="009E31C3" w:rsidRPr="003A75B5" w:rsidTr="009A0D20">
        <w:trPr>
          <w:trHeight w:val="395"/>
        </w:trPr>
        <w:tc>
          <w:tcPr>
            <w:tcW w:w="1701" w:type="dxa"/>
            <w:vAlign w:val="center"/>
          </w:tcPr>
          <w:p w:rsidR="009E31C3" w:rsidRPr="003A75B5" w:rsidRDefault="009E31C3" w:rsidP="009A0D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75B5">
              <w:rPr>
                <w:rFonts w:ascii="Arial" w:hAnsi="Arial" w:cs="Arial"/>
                <w:b/>
                <w:sz w:val="20"/>
                <w:szCs w:val="20"/>
              </w:rPr>
              <w:t>ISIN</w:t>
            </w:r>
          </w:p>
        </w:tc>
        <w:tc>
          <w:tcPr>
            <w:tcW w:w="1984" w:type="dxa"/>
            <w:vAlign w:val="center"/>
          </w:tcPr>
          <w:p w:rsidR="009E31C3" w:rsidRPr="003A75B5" w:rsidRDefault="009E31C3" w:rsidP="009A0D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75B5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01" w:type="dxa"/>
            <w:vAlign w:val="center"/>
          </w:tcPr>
          <w:p w:rsidR="009E31C3" w:rsidRPr="003A75B5" w:rsidRDefault="009E31C3" w:rsidP="009A0D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75B5">
              <w:rPr>
                <w:rFonts w:ascii="Arial" w:hAnsi="Arial" w:cs="Arial"/>
                <w:b/>
                <w:sz w:val="20"/>
                <w:szCs w:val="20"/>
              </w:rPr>
              <w:t>Due date of Payment</w:t>
            </w:r>
          </w:p>
        </w:tc>
        <w:tc>
          <w:tcPr>
            <w:tcW w:w="1843" w:type="dxa"/>
            <w:vAlign w:val="center"/>
          </w:tcPr>
          <w:p w:rsidR="009E31C3" w:rsidRPr="003A75B5" w:rsidRDefault="009E31C3" w:rsidP="009A0D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75B5">
              <w:rPr>
                <w:rFonts w:ascii="Arial" w:hAnsi="Arial" w:cs="Arial"/>
                <w:b/>
                <w:sz w:val="20"/>
                <w:szCs w:val="20"/>
              </w:rPr>
              <w:t>Purpose</w:t>
            </w:r>
          </w:p>
        </w:tc>
      </w:tr>
      <w:tr w:rsidR="009E31C3" w:rsidRPr="003A75B5" w:rsidTr="009A0D20">
        <w:tc>
          <w:tcPr>
            <w:tcW w:w="1701" w:type="dxa"/>
          </w:tcPr>
          <w:p w:rsidR="009E31C3" w:rsidRPr="003A75B5" w:rsidRDefault="009E31C3" w:rsidP="009A0D20">
            <w:pPr>
              <w:rPr>
                <w:rFonts w:ascii="Arial" w:hAnsi="Arial" w:cs="Arial"/>
                <w:sz w:val="20"/>
                <w:szCs w:val="20"/>
              </w:rPr>
            </w:pPr>
            <w:r w:rsidRPr="003A75B5">
              <w:rPr>
                <w:rFonts w:ascii="Arial" w:hAnsi="Arial" w:cs="Arial"/>
                <w:sz w:val="20"/>
                <w:szCs w:val="20"/>
              </w:rPr>
              <w:t>INE 538F07140</w:t>
            </w:r>
          </w:p>
        </w:tc>
        <w:tc>
          <w:tcPr>
            <w:tcW w:w="1984" w:type="dxa"/>
          </w:tcPr>
          <w:p w:rsidR="009E31C3" w:rsidRPr="003A75B5" w:rsidRDefault="009E31C3" w:rsidP="009A0D20">
            <w:pPr>
              <w:rPr>
                <w:rFonts w:ascii="Arial" w:hAnsi="Arial" w:cs="Arial"/>
                <w:sz w:val="20"/>
                <w:szCs w:val="20"/>
              </w:rPr>
            </w:pPr>
            <w:r w:rsidRPr="003A75B5">
              <w:rPr>
                <w:rFonts w:ascii="Arial" w:hAnsi="Arial" w:cs="Arial"/>
                <w:sz w:val="20"/>
                <w:szCs w:val="20"/>
              </w:rPr>
              <w:t>12.5% Secured Redeemable Non-convertible Debentures</w:t>
            </w:r>
          </w:p>
        </w:tc>
        <w:tc>
          <w:tcPr>
            <w:tcW w:w="1701" w:type="dxa"/>
          </w:tcPr>
          <w:p w:rsidR="009E31C3" w:rsidRPr="003A75B5" w:rsidRDefault="008C39E1" w:rsidP="009A0D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September</w:t>
            </w:r>
            <w:r w:rsidR="00C028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5B5" w:rsidRPr="003A75B5">
              <w:rPr>
                <w:rFonts w:ascii="Arial" w:hAnsi="Arial" w:cs="Arial"/>
                <w:sz w:val="20"/>
                <w:szCs w:val="20"/>
              </w:rPr>
              <w:t>5, 2021</w:t>
            </w:r>
          </w:p>
        </w:tc>
        <w:tc>
          <w:tcPr>
            <w:tcW w:w="1843" w:type="dxa"/>
          </w:tcPr>
          <w:p w:rsidR="009E31C3" w:rsidRPr="003A75B5" w:rsidRDefault="009E31C3" w:rsidP="009A0D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5B5">
              <w:rPr>
                <w:rFonts w:ascii="Arial" w:hAnsi="Arial" w:cs="Arial"/>
                <w:sz w:val="20"/>
                <w:szCs w:val="20"/>
              </w:rPr>
              <w:t>Interest payment</w:t>
            </w:r>
          </w:p>
        </w:tc>
      </w:tr>
    </w:tbl>
    <w:p w:rsidR="009E31C3" w:rsidRPr="003A75B5" w:rsidRDefault="009E31C3" w:rsidP="009E31C3">
      <w:pPr>
        <w:rPr>
          <w:rFonts w:ascii="Arial" w:hAnsi="Arial" w:cs="Arial"/>
          <w:sz w:val="20"/>
          <w:szCs w:val="20"/>
        </w:rPr>
      </w:pPr>
    </w:p>
    <w:p w:rsidR="009E31C3" w:rsidRPr="003A75B5" w:rsidRDefault="009E31C3" w:rsidP="009E31C3">
      <w:pPr>
        <w:rPr>
          <w:rFonts w:ascii="Arial" w:hAnsi="Arial" w:cs="Arial"/>
          <w:sz w:val="20"/>
          <w:szCs w:val="20"/>
        </w:rPr>
      </w:pPr>
      <w:r w:rsidRPr="003A75B5">
        <w:rPr>
          <w:rFonts w:ascii="Arial" w:hAnsi="Arial" w:cs="Arial"/>
          <w:sz w:val="20"/>
          <w:szCs w:val="20"/>
        </w:rPr>
        <w:t>Kindly take the same on record.</w:t>
      </w:r>
    </w:p>
    <w:p w:rsidR="009E31C3" w:rsidRPr="003A75B5" w:rsidRDefault="006D0619" w:rsidP="009E31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Thanking you.</w:t>
      </w:r>
    </w:p>
    <w:p w:rsidR="009E31C3" w:rsidRPr="003A75B5" w:rsidRDefault="009E31C3" w:rsidP="009E31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31C3" w:rsidRPr="003A75B5" w:rsidRDefault="006D0619" w:rsidP="009E31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Yours faithfully,</w:t>
      </w:r>
    </w:p>
    <w:p w:rsidR="009E31C3" w:rsidRPr="003A75B5" w:rsidRDefault="009E31C3" w:rsidP="009E31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75B5">
        <w:rPr>
          <w:rFonts w:ascii="Arial" w:hAnsi="Arial" w:cs="Arial"/>
          <w:b/>
          <w:sz w:val="20"/>
          <w:szCs w:val="20"/>
        </w:rPr>
        <w:t>For Essar Power Limited</w:t>
      </w:r>
    </w:p>
    <w:p w:rsidR="008C39E1" w:rsidRDefault="008C39E1" w:rsidP="009E31C3">
      <w:pPr>
        <w:spacing w:after="0" w:line="240" w:lineRule="auto"/>
        <w:jc w:val="both"/>
        <w:rPr>
          <w:rFonts w:ascii="Arial" w:hAnsi="Arial" w:cs="Arial"/>
          <w:b/>
          <w:noProof/>
          <w:sz w:val="18"/>
          <w:szCs w:val="18"/>
          <w:lang w:val="en-IN" w:eastAsia="en-IN"/>
        </w:rPr>
      </w:pPr>
    </w:p>
    <w:p w:rsidR="008C39E1" w:rsidRDefault="008C39E1" w:rsidP="009E31C3">
      <w:pPr>
        <w:spacing w:after="0" w:line="240" w:lineRule="auto"/>
        <w:jc w:val="both"/>
        <w:rPr>
          <w:rFonts w:ascii="Arial" w:hAnsi="Arial" w:cs="Arial"/>
          <w:b/>
          <w:noProof/>
          <w:sz w:val="18"/>
          <w:szCs w:val="18"/>
          <w:lang w:val="en-IN" w:eastAsia="en-IN"/>
        </w:rPr>
      </w:pPr>
    </w:p>
    <w:p w:rsidR="009E31C3" w:rsidRPr="003A75B5" w:rsidRDefault="009E31C3" w:rsidP="009E31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75B5">
        <w:rPr>
          <w:rFonts w:ascii="Arial" w:hAnsi="Arial" w:cs="Arial"/>
          <w:b/>
          <w:sz w:val="20"/>
          <w:szCs w:val="20"/>
        </w:rPr>
        <w:tab/>
      </w:r>
      <w:r w:rsidRPr="003A75B5">
        <w:rPr>
          <w:rFonts w:ascii="Arial" w:hAnsi="Arial" w:cs="Arial"/>
          <w:b/>
          <w:sz w:val="20"/>
          <w:szCs w:val="20"/>
        </w:rPr>
        <w:tab/>
      </w:r>
    </w:p>
    <w:p w:rsidR="009E31C3" w:rsidRPr="003A75B5" w:rsidRDefault="009E31C3" w:rsidP="009E31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75B5">
        <w:rPr>
          <w:rFonts w:ascii="Arial" w:hAnsi="Arial" w:cs="Arial"/>
          <w:b/>
          <w:sz w:val="20"/>
          <w:szCs w:val="20"/>
        </w:rPr>
        <w:t>Prakash Khedekar</w:t>
      </w:r>
    </w:p>
    <w:p w:rsidR="009E31C3" w:rsidRPr="003A75B5" w:rsidRDefault="009E31C3" w:rsidP="009E31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75B5">
        <w:rPr>
          <w:rFonts w:ascii="Arial" w:hAnsi="Arial" w:cs="Arial"/>
          <w:b/>
          <w:sz w:val="20"/>
          <w:szCs w:val="20"/>
        </w:rPr>
        <w:t xml:space="preserve">Company Secretary </w:t>
      </w:r>
    </w:p>
    <w:p w:rsidR="009E31C3" w:rsidRPr="003A75B5" w:rsidRDefault="009E31C3" w:rsidP="009E31C3">
      <w:pPr>
        <w:rPr>
          <w:rFonts w:ascii="Arial" w:hAnsi="Arial" w:cs="Arial"/>
          <w:sz w:val="20"/>
          <w:szCs w:val="20"/>
        </w:rPr>
      </w:pPr>
    </w:p>
    <w:p w:rsidR="00CE37A2" w:rsidRPr="003A75B5" w:rsidRDefault="00CE37A2">
      <w:pPr>
        <w:rPr>
          <w:rFonts w:ascii="Arial" w:hAnsi="Arial" w:cs="Arial"/>
          <w:sz w:val="20"/>
          <w:szCs w:val="20"/>
        </w:rPr>
      </w:pPr>
    </w:p>
    <w:sectPr w:rsidR="00CE37A2" w:rsidRPr="003A75B5" w:rsidSect="00416CA8">
      <w:headerReference w:type="default" r:id="rId8"/>
      <w:footerReference w:type="default" r:id="rId9"/>
      <w:pgSz w:w="11907" w:h="16839" w:code="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05B" w:rsidRDefault="00D9005B" w:rsidP="00D9005B">
      <w:pPr>
        <w:spacing w:after="0" w:line="240" w:lineRule="auto"/>
      </w:pPr>
      <w:r>
        <w:separator/>
      </w:r>
    </w:p>
  </w:endnote>
  <w:endnote w:type="continuationSeparator" w:id="0">
    <w:p w:rsidR="00D9005B" w:rsidRDefault="00D9005B" w:rsidP="00D9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5B" w:rsidRPr="00D9005B" w:rsidRDefault="00D9005B" w:rsidP="00D9005B">
    <w:pPr>
      <w:tabs>
        <w:tab w:val="center" w:pos="4513"/>
        <w:tab w:val="right" w:pos="9026"/>
      </w:tabs>
      <w:spacing w:after="0" w:line="240" w:lineRule="auto"/>
      <w:jc w:val="both"/>
      <w:rPr>
        <w:rFonts w:ascii="Arial" w:eastAsia="Times New Roman" w:hAnsi="Arial" w:cs="Arial"/>
        <w:sz w:val="16"/>
        <w:szCs w:val="16"/>
        <w:lang w:val="en-GB"/>
      </w:rPr>
    </w:pPr>
    <w:r w:rsidRPr="00D9005B">
      <w:rPr>
        <w:rFonts w:ascii="Arial" w:eastAsia="Times New Roman" w:hAnsi="Arial" w:cs="Arial"/>
        <w:sz w:val="16"/>
        <w:szCs w:val="16"/>
        <w:lang w:val="en-GB"/>
      </w:rPr>
      <w:t>CIN – U40100GJ1991PLC064824</w:t>
    </w:r>
  </w:p>
  <w:p w:rsidR="00D9005B" w:rsidRPr="00D9005B" w:rsidRDefault="00D9005B" w:rsidP="00D9005B">
    <w:pPr>
      <w:tabs>
        <w:tab w:val="center" w:pos="4513"/>
        <w:tab w:val="left" w:pos="5220"/>
        <w:tab w:val="right" w:pos="9026"/>
      </w:tabs>
      <w:spacing w:after="0" w:line="240" w:lineRule="auto"/>
      <w:ind w:right="29"/>
      <w:rPr>
        <w:rFonts w:ascii="Arial" w:eastAsia="Times New Roman" w:hAnsi="Arial" w:cs="Arial"/>
        <w:sz w:val="16"/>
        <w:szCs w:val="16"/>
        <w:lang w:val="en-GB"/>
      </w:rPr>
    </w:pPr>
    <w:r w:rsidRPr="00D9005B">
      <w:rPr>
        <w:rFonts w:ascii="Arial" w:eastAsia="Times New Roman" w:hAnsi="Arial" w:cs="Arial"/>
        <w:sz w:val="16"/>
        <w:szCs w:val="16"/>
        <w:lang w:val="en-GB"/>
      </w:rPr>
      <w:t>Regd Office: 27km, Surat Hazira Road, Hazira, Surat, Gujarat – 394 270, India</w:t>
    </w:r>
    <w:r w:rsidRPr="00D9005B">
      <w:rPr>
        <w:rFonts w:ascii="Arial" w:eastAsia="Times New Roman" w:hAnsi="Arial" w:cs="Arial"/>
        <w:sz w:val="16"/>
        <w:szCs w:val="16"/>
        <w:lang w:val="en-GB"/>
      </w:rPr>
      <w:tab/>
      <w:t xml:space="preserve"> T +91 261 668 2055/2400  F+91 261 668 2747</w:t>
    </w:r>
  </w:p>
  <w:p w:rsidR="00D9005B" w:rsidRPr="00D9005B" w:rsidRDefault="00D9005B" w:rsidP="00D9005B">
    <w:pPr>
      <w:tabs>
        <w:tab w:val="center" w:pos="468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 w:cs="Arial"/>
        <w:kern w:val="1"/>
        <w:sz w:val="14"/>
        <w:szCs w:val="16"/>
        <w:lang w:val="en-GB"/>
      </w:rPr>
    </w:pPr>
  </w:p>
  <w:p w:rsidR="00D9005B" w:rsidRPr="00D9005B" w:rsidRDefault="00D9005B" w:rsidP="00D9005B">
    <w:pPr>
      <w:tabs>
        <w:tab w:val="center" w:pos="468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 w:cs="Arial"/>
        <w:kern w:val="1"/>
        <w:sz w:val="14"/>
        <w:szCs w:val="16"/>
        <w:lang w:val="en-GB"/>
      </w:rPr>
    </w:pPr>
  </w:p>
  <w:p w:rsidR="00D9005B" w:rsidRPr="00D9005B" w:rsidRDefault="00D9005B" w:rsidP="00D9005B">
    <w:pPr>
      <w:overflowPunct w:val="0"/>
      <w:autoSpaceDE w:val="0"/>
      <w:autoSpaceDN w:val="0"/>
      <w:spacing w:after="0" w:line="240" w:lineRule="auto"/>
      <w:jc w:val="center"/>
      <w:rPr>
        <w:rFonts w:ascii="Arial" w:eastAsia="Calibri" w:hAnsi="Arial" w:cs="Arial"/>
        <w:color w:val="FF0000"/>
        <w:sz w:val="16"/>
        <w:szCs w:val="16"/>
        <w:lang w:val="en-IN" w:eastAsia="en-IN"/>
      </w:rPr>
    </w:pPr>
    <w:r w:rsidRPr="00D9005B">
      <w:rPr>
        <w:rFonts w:ascii="Arial" w:eastAsia="Calibri" w:hAnsi="Arial" w:cs="Arial"/>
        <w:color w:val="FF0000"/>
        <w:sz w:val="16"/>
        <w:szCs w:val="16"/>
      </w:rPr>
      <w:t>ENERGY   |   INFRASTRUCTURE   |   METALS &amp; MINING    |   SERVICES &amp; TECHNOLOGY</w:t>
    </w:r>
  </w:p>
  <w:p w:rsidR="00D9005B" w:rsidRDefault="00D9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05B" w:rsidRDefault="00D9005B" w:rsidP="00D9005B">
      <w:pPr>
        <w:spacing w:after="0" w:line="240" w:lineRule="auto"/>
      </w:pPr>
      <w:r>
        <w:separator/>
      </w:r>
    </w:p>
  </w:footnote>
  <w:footnote w:type="continuationSeparator" w:id="0">
    <w:p w:rsidR="00D9005B" w:rsidRDefault="00D9005B" w:rsidP="00D9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5B" w:rsidRDefault="00D9005B" w:rsidP="00D9005B">
    <w:pPr>
      <w:pStyle w:val="Header"/>
      <w:jc w:val="right"/>
    </w:pPr>
    <w:r>
      <w:rPr>
        <w:noProof/>
        <w:sz w:val="24"/>
        <w:szCs w:val="24"/>
        <w:lang w:val="en-IN" w:eastAsia="en-IN"/>
      </w:rPr>
      <w:drawing>
        <wp:inline distT="0" distB="0" distL="0" distR="0" wp14:anchorId="6327779F" wp14:editId="7C24F57C">
          <wp:extent cx="1647825" cy="771525"/>
          <wp:effectExtent l="0" t="0" r="9525" b="952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D12E1"/>
    <w:multiLevelType w:val="hybridMultilevel"/>
    <w:tmpl w:val="D2A81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C12E7"/>
    <w:multiLevelType w:val="hybridMultilevel"/>
    <w:tmpl w:val="E6A61A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1C3"/>
    <w:rsid w:val="003A75B5"/>
    <w:rsid w:val="00416CA8"/>
    <w:rsid w:val="004A33AA"/>
    <w:rsid w:val="006D0619"/>
    <w:rsid w:val="00795B36"/>
    <w:rsid w:val="008C39E1"/>
    <w:rsid w:val="009E31C3"/>
    <w:rsid w:val="00A06ABA"/>
    <w:rsid w:val="00BB368F"/>
    <w:rsid w:val="00C02810"/>
    <w:rsid w:val="00CE37A2"/>
    <w:rsid w:val="00CF6019"/>
    <w:rsid w:val="00D9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AB4235C-39A7-487A-BDE8-65B1C381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Annexure Char,List Paragraph1 Char,heading 9 Char,Heading 91 Char,Heading 911 Char"/>
    <w:link w:val="ListParagraph"/>
    <w:uiPriority w:val="34"/>
    <w:locked/>
    <w:rsid w:val="009E31C3"/>
    <w:rPr>
      <w:rFonts w:ascii="Calibri" w:hAnsi="Calibri" w:cs="Calibri"/>
      <w:lang w:eastAsia="en-IN"/>
    </w:rPr>
  </w:style>
  <w:style w:type="paragraph" w:styleId="ListParagraph">
    <w:name w:val="List Paragraph"/>
    <w:aliases w:val="Annexure,List Paragraph1,heading 9,Heading 91,Heading 911"/>
    <w:basedOn w:val="Normal"/>
    <w:link w:val="ListParagraphChar"/>
    <w:uiPriority w:val="34"/>
    <w:qFormat/>
    <w:rsid w:val="009E31C3"/>
    <w:pPr>
      <w:spacing w:after="0" w:line="240" w:lineRule="auto"/>
      <w:ind w:left="720"/>
      <w:contextualSpacing/>
    </w:pPr>
    <w:rPr>
      <w:rFonts w:ascii="Calibri" w:hAnsi="Calibri" w:cs="Calibri"/>
      <w:lang w:eastAsia="en-IN"/>
    </w:rPr>
  </w:style>
  <w:style w:type="table" w:styleId="TableGrid">
    <w:name w:val="Table Grid"/>
    <w:basedOn w:val="TableNormal"/>
    <w:uiPriority w:val="39"/>
    <w:rsid w:val="009E31C3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3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1C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00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0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05B"/>
  </w:style>
  <w:style w:type="paragraph" w:styleId="Footer">
    <w:name w:val="footer"/>
    <w:basedOn w:val="Normal"/>
    <w:link w:val="FooterChar"/>
    <w:uiPriority w:val="99"/>
    <w:unhideWhenUsed/>
    <w:rsid w:val="00D90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ssa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Khedekar, Prakash - EPHL – MUM</dc:creator>
  <cp:keywords/>
  <dc:description/>
  <cp:lastModifiedBy>Joshi, Laxmi K. - ESIPL - MUM</cp:lastModifiedBy>
  <cp:revision>9</cp:revision>
  <cp:lastPrinted>2021-09-07T06:08:00Z</cp:lastPrinted>
  <dcterms:created xsi:type="dcterms:W3CDTF">2020-03-07T06:06:00Z</dcterms:created>
  <dcterms:modified xsi:type="dcterms:W3CDTF">2021-09-07T06:23:00Z</dcterms:modified>
</cp:coreProperties>
</file>